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A7B62" w14:textId="77777777" w:rsidR="00A160B2" w:rsidRDefault="00A160B2" w:rsidP="00A160B2">
      <w:pPr>
        <w:spacing w:after="480"/>
      </w:pPr>
      <w:r>
        <w:rPr>
          <w:rFonts w:ascii="Arial Black" w:hAnsi="Arial Black"/>
          <w:noProof/>
          <w:color w:val="999999"/>
          <w:sz w:val="36"/>
          <w:szCs w:val="36"/>
          <w:lang w:eastAsia="en-GB"/>
        </w:rPr>
        <w:drawing>
          <wp:inline distT="0" distB="0" distL="0" distR="0" wp14:anchorId="633373E7" wp14:editId="47F26233">
            <wp:extent cx="2009775" cy="495935"/>
            <wp:effectExtent l="0" t="0" r="9525" b="0"/>
            <wp:docPr id="4" name="Picture 4" descr="Harrow Council Logo" title="Harrow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arrow Council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495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Style1"/>
        <w:tblW w:w="0" w:type="auto"/>
        <w:tblLook w:val="0000" w:firstRow="0" w:lastRow="0" w:firstColumn="0" w:lastColumn="0" w:noHBand="0" w:noVBand="0"/>
        <w:tblCaption w:val="Cabinet report summary details"/>
      </w:tblPr>
      <w:tblGrid>
        <w:gridCol w:w="3397"/>
        <w:gridCol w:w="4912"/>
      </w:tblGrid>
      <w:tr w:rsidR="00A160B2" w14:paraId="3E9231EB" w14:textId="77777777" w:rsidTr="00A360D6">
        <w:trPr>
          <w:tblHeader/>
        </w:trPr>
        <w:tc>
          <w:tcPr>
            <w:tcW w:w="3397" w:type="dxa"/>
            <w:tcBorders>
              <w:bottom w:val="single" w:sz="18" w:space="0" w:color="auto"/>
            </w:tcBorders>
          </w:tcPr>
          <w:p w14:paraId="2EDC0AA9" w14:textId="77777777" w:rsidR="00A160B2" w:rsidRPr="00B805DB" w:rsidRDefault="00A160B2" w:rsidP="006C3150">
            <w:pPr>
              <w:pStyle w:val="Heading1"/>
              <w:spacing w:after="240"/>
              <w:outlineLvl w:val="0"/>
            </w:pPr>
            <w:r>
              <w:t>Report f</w:t>
            </w:r>
            <w:r w:rsidRPr="00C869F3">
              <w:t>or:</w:t>
            </w:r>
          </w:p>
        </w:tc>
        <w:tc>
          <w:tcPr>
            <w:tcW w:w="4912" w:type="dxa"/>
            <w:tcBorders>
              <w:bottom w:val="single" w:sz="18" w:space="0" w:color="auto"/>
            </w:tcBorders>
          </w:tcPr>
          <w:p w14:paraId="55A88F66" w14:textId="55462E61" w:rsidR="00A160B2" w:rsidRPr="00A160B2" w:rsidRDefault="00CE4DD2" w:rsidP="00CE4DD2">
            <w:pPr>
              <w:pStyle w:val="Heading1"/>
              <w:outlineLvl w:val="0"/>
              <w:rPr>
                <w:color w:val="0000FF"/>
                <w:szCs w:val="24"/>
              </w:rPr>
            </w:pPr>
            <w:r>
              <w:t xml:space="preserve">Pension </w:t>
            </w:r>
            <w:r w:rsidR="00910B2F">
              <w:t>Board</w:t>
            </w:r>
            <w:r w:rsidR="00A160B2">
              <w:t xml:space="preserve"> </w:t>
            </w:r>
          </w:p>
        </w:tc>
      </w:tr>
      <w:tr w:rsidR="00A160B2" w14:paraId="5281F5A9" w14:textId="77777777" w:rsidTr="00A360D6">
        <w:tc>
          <w:tcPr>
            <w:tcW w:w="3397" w:type="dxa"/>
            <w:tcBorders>
              <w:top w:val="single" w:sz="18" w:space="0" w:color="auto"/>
            </w:tcBorders>
          </w:tcPr>
          <w:p w14:paraId="0991D380" w14:textId="77777777" w:rsidR="00A160B2" w:rsidRPr="00F92398" w:rsidRDefault="00A160B2" w:rsidP="006C3150">
            <w:pPr>
              <w:pStyle w:val="Infotext"/>
              <w:rPr>
                <w:rFonts w:ascii="Arial Black" w:hAnsi="Arial Black"/>
              </w:rPr>
            </w:pPr>
            <w:r w:rsidRPr="00F92398">
              <w:rPr>
                <w:rFonts w:ascii="Arial Black" w:hAnsi="Arial Black"/>
              </w:rPr>
              <w:t>Date</w:t>
            </w:r>
            <w:r>
              <w:rPr>
                <w:rFonts w:ascii="Arial Black" w:hAnsi="Arial Black"/>
              </w:rPr>
              <w:t xml:space="preserve"> of Meeting</w:t>
            </w:r>
            <w:r w:rsidRPr="00F92398">
              <w:rPr>
                <w:rFonts w:ascii="Arial Black" w:hAnsi="Arial Black"/>
              </w:rPr>
              <w:t>:</w:t>
            </w:r>
          </w:p>
          <w:p w14:paraId="3A6B81C9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4912" w:type="dxa"/>
            <w:tcBorders>
              <w:top w:val="single" w:sz="18" w:space="0" w:color="auto"/>
            </w:tcBorders>
          </w:tcPr>
          <w:p w14:paraId="495EBCE8" w14:textId="13E288B0" w:rsidR="00A160B2" w:rsidRDefault="00063313" w:rsidP="006C3150">
            <w:pPr>
              <w:pStyle w:val="Infotext"/>
              <w:rPr>
                <w:rFonts w:cs="Arial"/>
              </w:rPr>
            </w:pPr>
            <w:r>
              <w:rPr>
                <w:rFonts w:cs="Arial"/>
              </w:rPr>
              <w:t>28 July 2022</w:t>
            </w:r>
          </w:p>
        </w:tc>
      </w:tr>
      <w:tr w:rsidR="00A160B2" w14:paraId="79B879D4" w14:textId="77777777" w:rsidTr="00A360D6">
        <w:tc>
          <w:tcPr>
            <w:tcW w:w="3397" w:type="dxa"/>
          </w:tcPr>
          <w:p w14:paraId="5EBA2504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  <w:r w:rsidRPr="00F92398">
              <w:rPr>
                <w:rFonts w:ascii="Arial Black" w:hAnsi="Arial Black" w:cs="Arial"/>
              </w:rPr>
              <w:t>Subject:</w:t>
            </w:r>
          </w:p>
          <w:p w14:paraId="262AF561" w14:textId="77777777" w:rsidR="00A160B2" w:rsidRPr="00F92398" w:rsidRDefault="00A160B2" w:rsidP="006C3150">
            <w:pPr>
              <w:pStyle w:val="Infotext"/>
              <w:rPr>
                <w:rFonts w:ascii="Arial Black" w:hAnsi="Arial Black"/>
              </w:rPr>
            </w:pPr>
          </w:p>
        </w:tc>
        <w:tc>
          <w:tcPr>
            <w:tcW w:w="4912" w:type="dxa"/>
          </w:tcPr>
          <w:p w14:paraId="3AD4AE85" w14:textId="77777777" w:rsidR="00A160B2" w:rsidRDefault="0075614B" w:rsidP="00CE4DD2">
            <w:pPr>
              <w:pStyle w:val="Infotext"/>
              <w:rPr>
                <w:rFonts w:cs="Arial"/>
              </w:rPr>
            </w:pPr>
            <w:r>
              <w:rPr>
                <w:rFonts w:cs="Arial"/>
              </w:rPr>
              <w:t xml:space="preserve">Review of Pension Fund </w:t>
            </w:r>
            <w:r w:rsidR="00435F0D">
              <w:rPr>
                <w:rFonts w:cs="Arial"/>
              </w:rPr>
              <w:t>Governance Compliance Statement</w:t>
            </w:r>
          </w:p>
          <w:p w14:paraId="5914456E" w14:textId="2A5FDE02" w:rsidR="00A562AB" w:rsidRDefault="00A562AB" w:rsidP="00CE4DD2">
            <w:pPr>
              <w:pStyle w:val="Infotext"/>
              <w:rPr>
                <w:rFonts w:cs="Arial"/>
              </w:rPr>
            </w:pPr>
          </w:p>
        </w:tc>
      </w:tr>
      <w:tr w:rsidR="00A160B2" w14:paraId="3A5E0F07" w14:textId="77777777" w:rsidTr="00A360D6">
        <w:tc>
          <w:tcPr>
            <w:tcW w:w="3397" w:type="dxa"/>
          </w:tcPr>
          <w:p w14:paraId="3526B74C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  <w:r w:rsidRPr="00F92398">
              <w:rPr>
                <w:rFonts w:ascii="Arial Black" w:hAnsi="Arial Black" w:cs="Arial"/>
              </w:rPr>
              <w:t>Responsible Officer:</w:t>
            </w:r>
          </w:p>
          <w:p w14:paraId="2952AD10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4912" w:type="dxa"/>
          </w:tcPr>
          <w:p w14:paraId="3CF266C9" w14:textId="2B974E43" w:rsidR="00A160B2" w:rsidRDefault="00CE4DD2" w:rsidP="00CE4DD2">
            <w:pPr>
              <w:pStyle w:val="Infotext"/>
              <w:rPr>
                <w:rFonts w:cs="Arial"/>
              </w:rPr>
            </w:pPr>
            <w:r>
              <w:rPr>
                <w:rFonts w:cs="Arial"/>
              </w:rPr>
              <w:t>Dawn Calvert – Director of Finance and Assurance</w:t>
            </w:r>
          </w:p>
        </w:tc>
      </w:tr>
      <w:tr w:rsidR="00A160B2" w14:paraId="7AFCAE74" w14:textId="77777777" w:rsidTr="00A360D6">
        <w:tc>
          <w:tcPr>
            <w:tcW w:w="3397" w:type="dxa"/>
          </w:tcPr>
          <w:p w14:paraId="4573497F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  <w:r w:rsidRPr="00F92398">
              <w:rPr>
                <w:rFonts w:ascii="Arial Black" w:hAnsi="Arial Black" w:cs="Arial"/>
              </w:rPr>
              <w:t>Exempt:</w:t>
            </w:r>
          </w:p>
          <w:p w14:paraId="72D771B0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4912" w:type="dxa"/>
          </w:tcPr>
          <w:p w14:paraId="4E3163FF" w14:textId="532D3A4D" w:rsidR="00A160B2" w:rsidRDefault="00A160B2" w:rsidP="006C3150">
            <w:pPr>
              <w:pStyle w:val="Infotext"/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  <w:p w14:paraId="4C873B59" w14:textId="77777777" w:rsidR="00A160B2" w:rsidRDefault="00A160B2" w:rsidP="00CE4DD2">
            <w:pPr>
              <w:pStyle w:val="Infotext"/>
              <w:rPr>
                <w:rFonts w:cs="Arial"/>
              </w:rPr>
            </w:pPr>
          </w:p>
        </w:tc>
      </w:tr>
      <w:tr w:rsidR="00A160B2" w14:paraId="521D9222" w14:textId="77777777" w:rsidTr="00A360D6">
        <w:tc>
          <w:tcPr>
            <w:tcW w:w="3397" w:type="dxa"/>
          </w:tcPr>
          <w:p w14:paraId="65A16444" w14:textId="0C37FC36" w:rsidR="00A160B2" w:rsidRPr="00F92398" w:rsidRDefault="00A160B2" w:rsidP="00A562AB">
            <w:pPr>
              <w:pStyle w:val="Infotext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Wards affected:</w:t>
            </w:r>
          </w:p>
        </w:tc>
        <w:tc>
          <w:tcPr>
            <w:tcW w:w="4912" w:type="dxa"/>
          </w:tcPr>
          <w:p w14:paraId="6CD568AC" w14:textId="1D6272F6" w:rsidR="00A160B2" w:rsidRPr="00A562AB" w:rsidRDefault="00CE4DD2" w:rsidP="006C3150">
            <w:pPr>
              <w:pStyle w:val="Infotext"/>
              <w:rPr>
                <w:bCs/>
              </w:rPr>
            </w:pPr>
            <w:r w:rsidRPr="00A562AB">
              <w:rPr>
                <w:rFonts w:cs="Arial"/>
                <w:bCs/>
                <w:szCs w:val="24"/>
              </w:rPr>
              <w:t>All</w:t>
            </w:r>
          </w:p>
        </w:tc>
      </w:tr>
      <w:tr w:rsidR="00A160B2" w14:paraId="7C35C184" w14:textId="77777777" w:rsidTr="00A360D6">
        <w:tc>
          <w:tcPr>
            <w:tcW w:w="3397" w:type="dxa"/>
          </w:tcPr>
          <w:p w14:paraId="537C01BC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</w:p>
          <w:p w14:paraId="575B6BE7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  <w:r w:rsidRPr="00F92398">
              <w:rPr>
                <w:rFonts w:ascii="Arial Black" w:hAnsi="Arial Black" w:cs="Arial"/>
              </w:rPr>
              <w:t>Enclosures:</w:t>
            </w:r>
          </w:p>
          <w:p w14:paraId="69475841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4912" w:type="dxa"/>
          </w:tcPr>
          <w:p w14:paraId="58E11CE4" w14:textId="77777777" w:rsidR="00CE4DD2" w:rsidRDefault="00CE4DD2" w:rsidP="006C3150">
            <w:pPr>
              <w:pStyle w:val="Infotext"/>
            </w:pPr>
          </w:p>
          <w:p w14:paraId="4C232B02" w14:textId="35852B54" w:rsidR="00A160B2" w:rsidRDefault="00BE75CB" w:rsidP="006C3150">
            <w:pPr>
              <w:pStyle w:val="Infotext"/>
            </w:pPr>
            <w:r>
              <w:t xml:space="preserve">Appendix 1 – </w:t>
            </w:r>
            <w:r w:rsidR="00435F0D">
              <w:t>Governance Compliance Statement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Caption w:val="Cabinet report summary details"/>
      </w:tblPr>
      <w:tblGrid>
        <w:gridCol w:w="8309"/>
      </w:tblGrid>
      <w:tr w:rsidR="00A160B2" w14:paraId="332F8595" w14:textId="77777777" w:rsidTr="00A360D6">
        <w:trPr>
          <w:tblHeader/>
        </w:trPr>
        <w:tc>
          <w:tcPr>
            <w:tcW w:w="8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AF8288" w14:textId="77777777" w:rsidR="00A160B2" w:rsidRDefault="00A160B2" w:rsidP="00912904">
            <w:pPr>
              <w:pStyle w:val="Heading2"/>
              <w:spacing w:before="240" w:after="240"/>
            </w:pPr>
            <w:r>
              <w:t>Section 1 – Summary and Recommendations</w:t>
            </w:r>
          </w:p>
        </w:tc>
      </w:tr>
      <w:tr w:rsidR="00A160B2" w14:paraId="281F4D12" w14:textId="77777777" w:rsidTr="00A360D6">
        <w:trPr>
          <w:tblHeader/>
        </w:trPr>
        <w:tc>
          <w:tcPr>
            <w:tcW w:w="8309" w:type="dxa"/>
            <w:tcBorders>
              <w:left w:val="nil"/>
              <w:bottom w:val="nil"/>
              <w:right w:val="nil"/>
            </w:tcBorders>
          </w:tcPr>
          <w:p w14:paraId="2C9E4A81" w14:textId="17F69786" w:rsidR="00A160B2" w:rsidRDefault="00A360D6" w:rsidP="00A160B2">
            <w:r w:rsidRPr="008658CB">
              <w:t xml:space="preserve">This </w:t>
            </w:r>
            <w:r w:rsidRPr="00151033">
              <w:t>report</w:t>
            </w:r>
            <w:r>
              <w:t xml:space="preserve"> reviews the Pension </w:t>
            </w:r>
            <w:r w:rsidR="0075614B">
              <w:t xml:space="preserve">Fund’s </w:t>
            </w:r>
            <w:r w:rsidR="00435F0D">
              <w:t>Governance Compliance Statement</w:t>
            </w:r>
            <w:r w:rsidR="009E4AC6">
              <w:t xml:space="preserve">. The document was </w:t>
            </w:r>
            <w:r w:rsidR="00063313">
              <w:t>previously approved by</w:t>
            </w:r>
            <w:r w:rsidR="009E4AC6">
              <w:t xml:space="preserve"> the Pension </w:t>
            </w:r>
            <w:r w:rsidR="00063313">
              <w:t>Fund Committee</w:t>
            </w:r>
            <w:r w:rsidR="009E4AC6">
              <w:t xml:space="preserve"> on </w:t>
            </w:r>
            <w:r w:rsidR="00063313">
              <w:t>2</w:t>
            </w:r>
            <w:r w:rsidR="009E4AC6">
              <w:t xml:space="preserve">4 March </w:t>
            </w:r>
            <w:r w:rsidR="00063313">
              <w:t>2021.</w:t>
            </w:r>
          </w:p>
          <w:p w14:paraId="53358B31" w14:textId="77777777" w:rsidR="00A360D6" w:rsidRDefault="00A360D6" w:rsidP="00A160B2">
            <w:pPr>
              <w:rPr>
                <w:rFonts w:ascii="Arial Bold" w:hAnsi="Arial Bold"/>
                <w:b/>
                <w:sz w:val="28"/>
              </w:rPr>
            </w:pPr>
          </w:p>
          <w:p w14:paraId="4F9D0A08" w14:textId="77777777" w:rsidR="00A160B2" w:rsidRPr="00A160B2" w:rsidRDefault="00A160B2" w:rsidP="00A160B2">
            <w:pPr>
              <w:rPr>
                <w:rFonts w:ascii="Arial Bold" w:hAnsi="Arial Bold"/>
                <w:b/>
                <w:sz w:val="28"/>
              </w:rPr>
            </w:pPr>
            <w:r w:rsidRPr="00A160B2">
              <w:rPr>
                <w:rFonts w:ascii="Arial Bold" w:hAnsi="Arial Bold"/>
                <w:b/>
                <w:sz w:val="28"/>
              </w:rPr>
              <w:t xml:space="preserve">Recommendations: </w:t>
            </w:r>
          </w:p>
          <w:p w14:paraId="55052AFD" w14:textId="50C2A247" w:rsidR="00A40F28" w:rsidRDefault="00A360D6" w:rsidP="00A160B2">
            <w:r>
              <w:t>The</w:t>
            </w:r>
            <w:r w:rsidR="00063313">
              <w:t xml:space="preserve"> Board</w:t>
            </w:r>
            <w:r>
              <w:t xml:space="preserve"> is requested to </w:t>
            </w:r>
          </w:p>
          <w:p w14:paraId="44847B66" w14:textId="144C0571" w:rsidR="00A40F28" w:rsidRPr="00063313" w:rsidRDefault="00A40F28" w:rsidP="00A40F28">
            <w:pPr>
              <w:pStyle w:val="ListParagraph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 w:rsidRPr="00063313">
              <w:rPr>
                <w:sz w:val="24"/>
                <w:szCs w:val="24"/>
              </w:rPr>
              <w:t xml:space="preserve">Note the latest position on the LGPS Good Governance Review, </w:t>
            </w:r>
          </w:p>
          <w:p w14:paraId="714CBDEE" w14:textId="74AB16CF" w:rsidR="00A160B2" w:rsidRDefault="00A40F28" w:rsidP="00A40F28">
            <w:pPr>
              <w:pStyle w:val="ListParagraph"/>
              <w:numPr>
                <w:ilvl w:val="0"/>
                <w:numId w:val="29"/>
              </w:numPr>
            </w:pPr>
            <w:r w:rsidRPr="00063313">
              <w:rPr>
                <w:sz w:val="24"/>
                <w:szCs w:val="24"/>
              </w:rPr>
              <w:t>C</w:t>
            </w:r>
            <w:r w:rsidR="0075614B" w:rsidRPr="00063313">
              <w:rPr>
                <w:sz w:val="24"/>
                <w:szCs w:val="24"/>
              </w:rPr>
              <w:t xml:space="preserve">onsider the </w:t>
            </w:r>
            <w:r w:rsidR="00435F0D" w:rsidRPr="00063313">
              <w:rPr>
                <w:sz w:val="24"/>
                <w:szCs w:val="24"/>
              </w:rPr>
              <w:t xml:space="preserve">updated Governance Compliance Statement and, </w:t>
            </w:r>
            <w:r w:rsidR="00063313" w:rsidRPr="00063313">
              <w:rPr>
                <w:sz w:val="24"/>
                <w:szCs w:val="24"/>
              </w:rPr>
              <w:t xml:space="preserve">make any </w:t>
            </w:r>
            <w:r w:rsidR="00435F0D" w:rsidRPr="00063313">
              <w:rPr>
                <w:sz w:val="24"/>
                <w:szCs w:val="24"/>
              </w:rPr>
              <w:t>comments</w:t>
            </w:r>
            <w:r w:rsidR="00063313" w:rsidRPr="00063313">
              <w:rPr>
                <w:sz w:val="24"/>
                <w:szCs w:val="24"/>
              </w:rPr>
              <w:t xml:space="preserve"> for consideration by the Pension fund Committee, which will be asked to approve the Statement at its meeting in September 2022.</w:t>
            </w:r>
            <w:r w:rsidR="0075614B">
              <w:t xml:space="preserve"> </w:t>
            </w:r>
          </w:p>
        </w:tc>
      </w:tr>
    </w:tbl>
    <w:p w14:paraId="53DC7DE2" w14:textId="29EDE6CF" w:rsidR="002A2389" w:rsidRDefault="002A2389" w:rsidP="00A160B2">
      <w:pPr>
        <w:pStyle w:val="Heading2"/>
      </w:pPr>
      <w:r>
        <w:t>Section 2 – Report</w:t>
      </w:r>
    </w:p>
    <w:p w14:paraId="6FA45565" w14:textId="28D2C70E" w:rsidR="00BE75CB" w:rsidRDefault="00A360D6" w:rsidP="00A360D6">
      <w:pPr>
        <w:numPr>
          <w:ilvl w:val="0"/>
          <w:numId w:val="16"/>
        </w:numPr>
        <w:jc w:val="both"/>
      </w:pPr>
      <w:r>
        <w:t xml:space="preserve">The </w:t>
      </w:r>
      <w:r w:rsidR="0075614B">
        <w:t xml:space="preserve">Local Government Pension Scheme (LGPS) Regulations 2013 </w:t>
      </w:r>
      <w:r w:rsidR="00BE75CB">
        <w:t xml:space="preserve">(Regulation </w:t>
      </w:r>
      <w:r w:rsidR="002F5FFD">
        <w:t>5</w:t>
      </w:r>
      <w:r w:rsidR="00435F0D">
        <w:t>5</w:t>
      </w:r>
      <w:r w:rsidR="00BE75CB">
        <w:t xml:space="preserve">) </w:t>
      </w:r>
      <w:r w:rsidR="0075614B">
        <w:t>require</w:t>
      </w:r>
      <w:r w:rsidR="00BE75CB">
        <w:t xml:space="preserve"> the </w:t>
      </w:r>
      <w:r w:rsidR="00435F0D">
        <w:t xml:space="preserve">Administering Authority for the </w:t>
      </w:r>
      <w:r w:rsidR="00BE75CB">
        <w:t xml:space="preserve">Fund to </w:t>
      </w:r>
      <w:r w:rsidR="00435F0D">
        <w:t xml:space="preserve">prepare a written statement setting out: </w:t>
      </w:r>
    </w:p>
    <w:p w14:paraId="53732B1B" w14:textId="261C7849" w:rsidR="00435F0D" w:rsidRPr="00B431BC" w:rsidRDefault="00435F0D" w:rsidP="00435F0D">
      <w:pPr>
        <w:pStyle w:val="ListParagraph"/>
        <w:numPr>
          <w:ilvl w:val="0"/>
          <w:numId w:val="23"/>
        </w:numPr>
        <w:jc w:val="both"/>
        <w:rPr>
          <w:iCs/>
          <w:sz w:val="24"/>
          <w:szCs w:val="24"/>
        </w:rPr>
      </w:pPr>
      <w:r w:rsidRPr="00B431BC">
        <w:rPr>
          <w:iCs/>
          <w:sz w:val="24"/>
          <w:szCs w:val="24"/>
        </w:rPr>
        <w:t>whether the authority delegates its function, or part of its functions under the Regulations to a committee, a sub-committee or an officer of the authority;</w:t>
      </w:r>
    </w:p>
    <w:p w14:paraId="2D3F449D" w14:textId="3187895C" w:rsidR="00435F0D" w:rsidRPr="00B431BC" w:rsidRDefault="00435F0D" w:rsidP="00435F0D">
      <w:pPr>
        <w:pStyle w:val="ListParagraph"/>
        <w:numPr>
          <w:ilvl w:val="0"/>
          <w:numId w:val="23"/>
        </w:numPr>
        <w:jc w:val="both"/>
        <w:rPr>
          <w:iCs/>
          <w:sz w:val="24"/>
          <w:szCs w:val="24"/>
        </w:rPr>
      </w:pPr>
      <w:r w:rsidRPr="00B431BC">
        <w:rPr>
          <w:iCs/>
          <w:sz w:val="24"/>
          <w:szCs w:val="24"/>
        </w:rPr>
        <w:t>if so, the way in which the delegation operates, including membership of the Committee,</w:t>
      </w:r>
      <w:r w:rsidR="00B431BC" w:rsidRPr="00B431BC">
        <w:rPr>
          <w:iCs/>
          <w:sz w:val="24"/>
          <w:szCs w:val="24"/>
        </w:rPr>
        <w:t xml:space="preserve"> voting rights, </w:t>
      </w:r>
      <w:r w:rsidRPr="00B431BC">
        <w:rPr>
          <w:iCs/>
          <w:sz w:val="24"/>
          <w:szCs w:val="24"/>
        </w:rPr>
        <w:t>freque</w:t>
      </w:r>
      <w:r w:rsidR="00B431BC" w:rsidRPr="00B431BC">
        <w:rPr>
          <w:iCs/>
          <w:sz w:val="24"/>
          <w:szCs w:val="24"/>
        </w:rPr>
        <w:t>ncy of meetings etc</w:t>
      </w:r>
      <w:r w:rsidRPr="00B431BC">
        <w:rPr>
          <w:iCs/>
          <w:sz w:val="24"/>
          <w:szCs w:val="24"/>
        </w:rPr>
        <w:t>;</w:t>
      </w:r>
    </w:p>
    <w:p w14:paraId="7355083C" w14:textId="19E56589" w:rsidR="00435F0D" w:rsidRPr="00D143E7" w:rsidRDefault="00B431BC" w:rsidP="00435F0D">
      <w:pPr>
        <w:pStyle w:val="ListParagraph"/>
        <w:numPr>
          <w:ilvl w:val="0"/>
          <w:numId w:val="23"/>
        </w:numPr>
        <w:jc w:val="both"/>
        <w:rPr>
          <w:iCs/>
          <w:sz w:val="24"/>
          <w:szCs w:val="24"/>
        </w:rPr>
      </w:pPr>
      <w:r w:rsidRPr="00D143E7">
        <w:rPr>
          <w:iCs/>
          <w:sz w:val="24"/>
          <w:szCs w:val="24"/>
        </w:rPr>
        <w:lastRenderedPageBreak/>
        <w:t xml:space="preserve">details of the arrangements for the local Pension </w:t>
      </w:r>
      <w:r w:rsidR="009E4AC6" w:rsidRPr="00D143E7">
        <w:rPr>
          <w:iCs/>
          <w:sz w:val="24"/>
          <w:szCs w:val="24"/>
        </w:rPr>
        <w:t>B</w:t>
      </w:r>
      <w:r w:rsidRPr="00D143E7">
        <w:rPr>
          <w:iCs/>
          <w:sz w:val="24"/>
          <w:szCs w:val="24"/>
        </w:rPr>
        <w:t xml:space="preserve">oard. </w:t>
      </w:r>
    </w:p>
    <w:p w14:paraId="5FC15126" w14:textId="0A24DDC4" w:rsidR="00435F0D" w:rsidRPr="00D42B63" w:rsidRDefault="00435F0D" w:rsidP="0078744D">
      <w:pPr>
        <w:tabs>
          <w:tab w:val="left" w:pos="1510"/>
        </w:tabs>
        <w:ind w:left="561" w:hanging="561"/>
        <w:rPr>
          <w:rFonts w:cs="Arial"/>
          <w:szCs w:val="24"/>
        </w:rPr>
      </w:pPr>
      <w:r>
        <w:rPr>
          <w:rFonts w:cs="Arial"/>
          <w:szCs w:val="24"/>
        </w:rPr>
        <w:t xml:space="preserve"> </w:t>
      </w:r>
      <w:r w:rsidR="0078744D">
        <w:rPr>
          <w:rFonts w:cs="Arial"/>
          <w:szCs w:val="24"/>
        </w:rPr>
        <w:tab/>
      </w:r>
      <w:r w:rsidR="0078744D">
        <w:rPr>
          <w:rFonts w:cs="Arial"/>
          <w:szCs w:val="24"/>
        </w:rPr>
        <w:tab/>
      </w:r>
    </w:p>
    <w:p w14:paraId="76FD7601" w14:textId="2535BA2A" w:rsidR="00B431BC" w:rsidRDefault="00BE75CB" w:rsidP="00A360D6">
      <w:pPr>
        <w:numPr>
          <w:ilvl w:val="0"/>
          <w:numId w:val="16"/>
        </w:numPr>
        <w:jc w:val="both"/>
      </w:pPr>
      <w:r>
        <w:t xml:space="preserve">The Fund’s </w:t>
      </w:r>
      <w:r w:rsidR="00B431BC">
        <w:t>Governance Compliance statement was last reviewed in</w:t>
      </w:r>
      <w:r>
        <w:t xml:space="preserve"> March 20</w:t>
      </w:r>
      <w:r w:rsidR="00063313">
        <w:t>21</w:t>
      </w:r>
      <w:r>
        <w:t xml:space="preserve">. It is therefore appropriate to review and update </w:t>
      </w:r>
      <w:r w:rsidR="00B431BC">
        <w:t>it.</w:t>
      </w:r>
    </w:p>
    <w:p w14:paraId="788D8D5A" w14:textId="77777777" w:rsidR="00B431BC" w:rsidRDefault="00B431BC" w:rsidP="00B431BC">
      <w:pPr>
        <w:ind w:left="720"/>
        <w:jc w:val="both"/>
      </w:pPr>
    </w:p>
    <w:p w14:paraId="382D260B" w14:textId="570C4D1C" w:rsidR="006B5B52" w:rsidRDefault="00BE75CB" w:rsidP="00BE75CB">
      <w:pPr>
        <w:numPr>
          <w:ilvl w:val="0"/>
          <w:numId w:val="16"/>
        </w:numPr>
        <w:jc w:val="both"/>
      </w:pPr>
      <w:r>
        <w:t xml:space="preserve">The revised </w:t>
      </w:r>
      <w:r w:rsidR="00B431BC">
        <w:t xml:space="preserve">Governance Compliance Statement </w:t>
      </w:r>
      <w:r>
        <w:t xml:space="preserve">is enclosed at Appendix 1. </w:t>
      </w:r>
      <w:r w:rsidR="00063313">
        <w:t xml:space="preserve">Once the Board has reviewed it, any comments will be </w:t>
      </w:r>
      <w:r w:rsidR="00A562AB">
        <w:t>incorporated,</w:t>
      </w:r>
      <w:r w:rsidR="00063313">
        <w:t xml:space="preserve"> and the document submitted to the September 2022 meeting of the </w:t>
      </w:r>
      <w:r w:rsidR="009E4AC6">
        <w:t xml:space="preserve">Pension </w:t>
      </w:r>
      <w:r w:rsidR="00063313">
        <w:t xml:space="preserve">Fund Committee for approval and </w:t>
      </w:r>
      <w:r>
        <w:t xml:space="preserve">adoption. </w:t>
      </w:r>
    </w:p>
    <w:p w14:paraId="2D040529" w14:textId="77777777" w:rsidR="00B431BC" w:rsidRDefault="00B431BC" w:rsidP="00B431BC">
      <w:pPr>
        <w:ind w:left="720"/>
        <w:jc w:val="both"/>
      </w:pPr>
    </w:p>
    <w:p w14:paraId="389CF109" w14:textId="49FA5D95" w:rsidR="00D143E7" w:rsidRDefault="00B431BC" w:rsidP="003533E9">
      <w:pPr>
        <w:numPr>
          <w:ilvl w:val="0"/>
          <w:numId w:val="16"/>
        </w:numPr>
        <w:jc w:val="both"/>
      </w:pPr>
      <w:r>
        <w:t xml:space="preserve">The “Good Governance Review” which was reported to the Board in January 2020 </w:t>
      </w:r>
      <w:r w:rsidR="00D143E7">
        <w:t xml:space="preserve">was delayed </w:t>
      </w:r>
      <w:r>
        <w:t xml:space="preserve">by the Covid-19 pandemic. </w:t>
      </w:r>
      <w:r w:rsidR="00D143E7">
        <w:t>T</w:t>
      </w:r>
      <w:r w:rsidR="0097457E">
        <w:t>he final (Phase 3) Report on this subject</w:t>
      </w:r>
      <w:r w:rsidR="00D143E7">
        <w:t xml:space="preserve"> was published by the Scheme Advisory Board in February 2021, and the </w:t>
      </w:r>
      <w:r w:rsidR="0097457E">
        <w:t xml:space="preserve">Report’s Action plan </w:t>
      </w:r>
      <w:r w:rsidR="00D143E7">
        <w:t xml:space="preserve">was submitted </w:t>
      </w:r>
      <w:r w:rsidR="0097457E">
        <w:t xml:space="preserve">to the Local Government Minister for consideration. </w:t>
      </w:r>
      <w:r w:rsidR="00D143E7">
        <w:t xml:space="preserve">It is expected that Regulations will be published later in 2022 incorporating many of the Review’s recommendations. </w:t>
      </w:r>
    </w:p>
    <w:p w14:paraId="00AC6535" w14:textId="77777777" w:rsidR="00D143E7" w:rsidRDefault="00D143E7" w:rsidP="00D143E7">
      <w:pPr>
        <w:pStyle w:val="ListParagraph"/>
      </w:pPr>
    </w:p>
    <w:p w14:paraId="237A1BED" w14:textId="19AAE87C" w:rsidR="00D143E7" w:rsidRDefault="00D143E7" w:rsidP="001656AA">
      <w:pPr>
        <w:numPr>
          <w:ilvl w:val="0"/>
          <w:numId w:val="16"/>
        </w:numPr>
        <w:jc w:val="both"/>
      </w:pPr>
      <w:r>
        <w:t xml:space="preserve">In view of the likelihood of new Regulations, no changes are proposed to the current Governance Compliance Statement at this time. </w:t>
      </w:r>
    </w:p>
    <w:p w14:paraId="5F6BD5FD" w14:textId="77777777" w:rsidR="006B5B52" w:rsidRDefault="006B5B52" w:rsidP="006B5B52">
      <w:pPr>
        <w:pStyle w:val="Heading2"/>
      </w:pPr>
      <w:r>
        <w:t>Legal Implications</w:t>
      </w:r>
    </w:p>
    <w:p w14:paraId="56739B89" w14:textId="77777777" w:rsidR="006B5B52" w:rsidRDefault="006B5B52" w:rsidP="006B5B52">
      <w:pPr>
        <w:pStyle w:val="ListParagraph"/>
      </w:pPr>
    </w:p>
    <w:p w14:paraId="1AE22C2D" w14:textId="077CF04F" w:rsidR="006B5B52" w:rsidRDefault="006B5B52" w:rsidP="000E1E98">
      <w:pPr>
        <w:numPr>
          <w:ilvl w:val="0"/>
          <w:numId w:val="16"/>
        </w:numPr>
        <w:jc w:val="both"/>
        <w:rPr>
          <w:szCs w:val="24"/>
        </w:rPr>
      </w:pPr>
      <w:r w:rsidRPr="00C55540">
        <w:rPr>
          <w:szCs w:val="24"/>
        </w:rPr>
        <w:t>There are no direct legal implications arising from this report.</w:t>
      </w:r>
    </w:p>
    <w:p w14:paraId="5F1BAFC2" w14:textId="77777777" w:rsidR="00661CE1" w:rsidRDefault="00661CE1" w:rsidP="00661CE1">
      <w:pPr>
        <w:ind w:left="720"/>
        <w:jc w:val="both"/>
        <w:rPr>
          <w:szCs w:val="24"/>
        </w:rPr>
      </w:pPr>
    </w:p>
    <w:p w14:paraId="3F56FEE2" w14:textId="3FA771F0" w:rsidR="00661CE1" w:rsidRPr="00C55540" w:rsidRDefault="00661CE1" w:rsidP="000E1E98">
      <w:pPr>
        <w:numPr>
          <w:ilvl w:val="0"/>
          <w:numId w:val="16"/>
        </w:numPr>
        <w:jc w:val="both"/>
        <w:rPr>
          <w:szCs w:val="24"/>
        </w:rPr>
      </w:pPr>
      <w:r w:rsidRPr="00C305BC">
        <w:rPr>
          <w:szCs w:val="24"/>
        </w:rPr>
        <w:t>The terms of reference for the Board include</w:t>
      </w:r>
      <w:r w:rsidRPr="00C305BC">
        <w:t xml:space="preserve"> </w:t>
      </w:r>
      <w:r w:rsidRPr="00C305BC">
        <w:rPr>
          <w:szCs w:val="24"/>
        </w:rPr>
        <w:t>assisting the Administering Authority (London Borough of Harrow) as Scheme Manager in ensuring the effective and efficient governance and administration of the Local Government Pension Scheme</w:t>
      </w:r>
      <w:r>
        <w:rPr>
          <w:szCs w:val="24"/>
        </w:rPr>
        <w:t>.</w:t>
      </w:r>
    </w:p>
    <w:p w14:paraId="75BF25CE" w14:textId="77777777" w:rsidR="006B5B52" w:rsidRDefault="006B5B52" w:rsidP="006B5B52">
      <w:pPr>
        <w:pStyle w:val="Heading2"/>
        <w:spacing w:after="240"/>
      </w:pPr>
      <w:r>
        <w:t>Financial Implications</w:t>
      </w:r>
    </w:p>
    <w:p w14:paraId="42CA06A9" w14:textId="7F542A0C" w:rsidR="006B5B52" w:rsidRPr="006B5B52" w:rsidRDefault="006B5B52" w:rsidP="00EB0AAE">
      <w:pPr>
        <w:numPr>
          <w:ilvl w:val="0"/>
          <w:numId w:val="16"/>
        </w:numPr>
        <w:jc w:val="both"/>
        <w:rPr>
          <w:szCs w:val="24"/>
          <w:lang w:val="en-US"/>
        </w:rPr>
      </w:pPr>
      <w:r w:rsidRPr="006B5B52">
        <w:rPr>
          <w:szCs w:val="24"/>
          <w:lang w:val="en-US"/>
        </w:rPr>
        <w:t>Whilst the performance and effective controls of the fund managers is of paramount importance in the performance of the Pension Fund, there are no financial implications arising from this report.</w:t>
      </w:r>
    </w:p>
    <w:p w14:paraId="0568C5C0" w14:textId="77777777" w:rsidR="006B5B52" w:rsidRPr="003D2FFE" w:rsidRDefault="006B5B52" w:rsidP="006B5B52">
      <w:pPr>
        <w:pStyle w:val="Heading2"/>
        <w:spacing w:after="240"/>
      </w:pPr>
      <w:r>
        <w:t>Risk Management Implications</w:t>
      </w:r>
    </w:p>
    <w:p w14:paraId="462D9ECD" w14:textId="1F59BD55" w:rsidR="006B5B52" w:rsidRPr="00C55540" w:rsidRDefault="00C55540" w:rsidP="00C55540">
      <w:pPr>
        <w:numPr>
          <w:ilvl w:val="0"/>
          <w:numId w:val="16"/>
        </w:numPr>
        <w:jc w:val="both"/>
      </w:pPr>
      <w:r w:rsidRPr="00C55540">
        <w:rPr>
          <w:rFonts w:cs="Arial"/>
        </w:rPr>
        <w:t xml:space="preserve">There are no specific risk management implications arising from this report. The Pension Fund’s Risk Register is reviewed </w:t>
      </w:r>
      <w:r>
        <w:rPr>
          <w:rFonts w:cs="Arial"/>
        </w:rPr>
        <w:t>regularly by bot</w:t>
      </w:r>
      <w:r w:rsidR="00DE2E56">
        <w:rPr>
          <w:rFonts w:cs="Arial"/>
        </w:rPr>
        <w:t xml:space="preserve">h </w:t>
      </w:r>
      <w:r>
        <w:rPr>
          <w:rFonts w:cs="Arial"/>
        </w:rPr>
        <w:t xml:space="preserve">the Committee and by the </w:t>
      </w:r>
      <w:r w:rsidR="00FB29DC">
        <w:rPr>
          <w:rFonts w:cs="Arial"/>
        </w:rPr>
        <w:t xml:space="preserve">Pension </w:t>
      </w:r>
      <w:r>
        <w:rPr>
          <w:rFonts w:cs="Arial"/>
        </w:rPr>
        <w:t xml:space="preserve">Board. </w:t>
      </w:r>
    </w:p>
    <w:p w14:paraId="16855B49" w14:textId="77777777" w:rsidR="00C55540" w:rsidRDefault="00C55540" w:rsidP="00C55540">
      <w:pPr>
        <w:pStyle w:val="Heading2"/>
        <w:keepNext/>
        <w:spacing w:after="240"/>
      </w:pPr>
      <w:r w:rsidRPr="004A2543">
        <w:t>Equalities implications</w:t>
      </w:r>
      <w:r>
        <w:t xml:space="preserve"> / Public Sector Equality Duty </w:t>
      </w:r>
    </w:p>
    <w:p w14:paraId="150BCE92" w14:textId="54EFFC9B" w:rsidR="00C55540" w:rsidRPr="00C55540" w:rsidRDefault="00C55540" w:rsidP="00C55540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C55540">
        <w:rPr>
          <w:sz w:val="24"/>
          <w:szCs w:val="24"/>
        </w:rPr>
        <w:t xml:space="preserve">Was an Equality Impact Assessment carried out?  No </w:t>
      </w:r>
    </w:p>
    <w:p w14:paraId="6F845081" w14:textId="356618D6" w:rsidR="00C55540" w:rsidRDefault="00C55540" w:rsidP="00085E3D">
      <w:pPr>
        <w:ind w:firstLine="720"/>
        <w:jc w:val="both"/>
        <w:rPr>
          <w:szCs w:val="24"/>
        </w:rPr>
      </w:pPr>
      <w:r w:rsidRPr="00C55540">
        <w:rPr>
          <w:szCs w:val="24"/>
        </w:rPr>
        <w:t>There are no direct equalities implications arising from this report</w:t>
      </w:r>
      <w:r w:rsidR="00DD6270">
        <w:rPr>
          <w:szCs w:val="24"/>
        </w:rPr>
        <w:t>.</w:t>
      </w:r>
    </w:p>
    <w:p w14:paraId="3EEDC6F2" w14:textId="77777777" w:rsidR="00C55540" w:rsidRPr="00CD57D8" w:rsidRDefault="00C55540" w:rsidP="009870BC">
      <w:pPr>
        <w:pStyle w:val="Heading2"/>
        <w:spacing w:before="0" w:after="240"/>
      </w:pPr>
      <w:r>
        <w:lastRenderedPageBreak/>
        <w:t xml:space="preserve">Council </w:t>
      </w:r>
      <w:r w:rsidRPr="00CD57D8">
        <w:t>Priorities</w:t>
      </w:r>
    </w:p>
    <w:p w14:paraId="270E4104" w14:textId="762F40FD" w:rsidR="00C55540" w:rsidRDefault="00C55540" w:rsidP="00C55540">
      <w:pPr>
        <w:pStyle w:val="ListParagraph"/>
        <w:numPr>
          <w:ilvl w:val="0"/>
          <w:numId w:val="16"/>
        </w:numPr>
        <w:rPr>
          <w:sz w:val="24"/>
          <w:szCs w:val="24"/>
          <w:lang w:val="en-US"/>
        </w:rPr>
      </w:pPr>
      <w:r w:rsidRPr="00A175BD">
        <w:rPr>
          <w:sz w:val="24"/>
          <w:szCs w:val="24"/>
          <w:lang w:val="en-US"/>
        </w:rPr>
        <w:t xml:space="preserve">The performance of the Pension Fund directly affects the level of employer contribution which then, in turn, affects the resources available for the Council’s priorities. </w:t>
      </w:r>
    </w:p>
    <w:p w14:paraId="11BF41CC" w14:textId="064D1A5D" w:rsidR="002A2389" w:rsidRDefault="00D143E7" w:rsidP="00912904">
      <w:pPr>
        <w:pStyle w:val="Heading2"/>
      </w:pPr>
      <w:r>
        <w:t>S</w:t>
      </w:r>
      <w:r w:rsidR="002A2389">
        <w:t>ection 3 - Statutory Officer Clearance</w:t>
      </w:r>
    </w:p>
    <w:p w14:paraId="077143F8" w14:textId="77777777" w:rsidR="002A2389" w:rsidRDefault="002A2389" w:rsidP="008D1750">
      <w:pPr>
        <w:keepNext/>
        <w:rPr>
          <w:rFonts w:cs="Arial"/>
        </w:rPr>
      </w:pPr>
    </w:p>
    <w:p w14:paraId="1F493ADE" w14:textId="223051F9" w:rsidR="00912904" w:rsidRPr="00A66326" w:rsidRDefault="00912904" w:rsidP="00912904">
      <w:pPr>
        <w:rPr>
          <w:sz w:val="28"/>
        </w:rPr>
      </w:pPr>
      <w:r w:rsidRPr="00A66326">
        <w:rPr>
          <w:b/>
          <w:sz w:val="28"/>
        </w:rPr>
        <w:t xml:space="preserve">Statutory Officer:  </w:t>
      </w:r>
      <w:r w:rsidR="0024178C">
        <w:rPr>
          <w:b/>
          <w:sz w:val="28"/>
        </w:rPr>
        <w:t>Dawn Calvert</w:t>
      </w:r>
    </w:p>
    <w:p w14:paraId="57640BD9" w14:textId="186B8A73" w:rsidR="00912904" w:rsidRPr="00A66326" w:rsidRDefault="00912904" w:rsidP="00912904">
      <w:r w:rsidRPr="00A66326">
        <w:t>Signed on behalf of the Chief Financial Officer</w:t>
      </w:r>
    </w:p>
    <w:p w14:paraId="5745A2E3" w14:textId="6E3DCE2B" w:rsidR="00912904" w:rsidRPr="00A66326" w:rsidRDefault="00912904" w:rsidP="00912904">
      <w:pPr>
        <w:spacing w:after="480"/>
        <w:rPr>
          <w:sz w:val="28"/>
        </w:rPr>
      </w:pPr>
      <w:r w:rsidRPr="00A66326">
        <w:rPr>
          <w:b/>
          <w:sz w:val="28"/>
        </w:rPr>
        <w:t xml:space="preserve">Date:  </w:t>
      </w:r>
      <w:r w:rsidR="0024178C">
        <w:rPr>
          <w:b/>
          <w:sz w:val="28"/>
        </w:rPr>
        <w:t>07/07/2022</w:t>
      </w:r>
    </w:p>
    <w:p w14:paraId="2586CC50" w14:textId="0BADBC19" w:rsidR="00912904" w:rsidRPr="00A66326" w:rsidRDefault="00912904" w:rsidP="00912904">
      <w:pPr>
        <w:rPr>
          <w:sz w:val="28"/>
        </w:rPr>
      </w:pPr>
      <w:r w:rsidRPr="00A66326">
        <w:rPr>
          <w:b/>
          <w:sz w:val="28"/>
        </w:rPr>
        <w:t xml:space="preserve">Statutory Officer:  </w:t>
      </w:r>
      <w:r w:rsidR="00661CE1">
        <w:rPr>
          <w:b/>
          <w:sz w:val="28"/>
        </w:rPr>
        <w:t>Sharon Clarke</w:t>
      </w:r>
    </w:p>
    <w:p w14:paraId="3F58D77A" w14:textId="0E2D7AC4" w:rsidR="00912904" w:rsidRPr="00A66326" w:rsidRDefault="00912904" w:rsidP="00912904">
      <w:r w:rsidRPr="00A66326">
        <w:t>Signed on behalf of the Monitoring Officer</w:t>
      </w:r>
    </w:p>
    <w:p w14:paraId="61F8C7E6" w14:textId="02345ABD" w:rsidR="00912904" w:rsidRPr="003313EA" w:rsidRDefault="00912904" w:rsidP="00912904">
      <w:pPr>
        <w:spacing w:after="480"/>
        <w:rPr>
          <w:sz w:val="28"/>
        </w:rPr>
      </w:pPr>
      <w:r w:rsidRPr="00A66326">
        <w:rPr>
          <w:b/>
          <w:sz w:val="28"/>
        </w:rPr>
        <w:t xml:space="preserve">Date:  </w:t>
      </w:r>
      <w:r w:rsidR="00661CE1">
        <w:rPr>
          <w:b/>
          <w:sz w:val="28"/>
        </w:rPr>
        <w:t>30/06/2022</w:t>
      </w:r>
    </w:p>
    <w:p w14:paraId="2019A53D" w14:textId="298D4741" w:rsidR="00912904" w:rsidRPr="00A66326" w:rsidRDefault="004A4A1D" w:rsidP="00912904">
      <w:pPr>
        <w:rPr>
          <w:sz w:val="28"/>
        </w:rPr>
      </w:pPr>
      <w:r>
        <w:rPr>
          <w:b/>
          <w:sz w:val="28"/>
        </w:rPr>
        <w:t>Chief</w:t>
      </w:r>
      <w:r w:rsidR="00912904" w:rsidRPr="00A66326">
        <w:rPr>
          <w:b/>
          <w:sz w:val="28"/>
        </w:rPr>
        <w:t xml:space="preserve"> Officer:  </w:t>
      </w:r>
      <w:r w:rsidR="00910B2F">
        <w:rPr>
          <w:b/>
          <w:sz w:val="28"/>
        </w:rPr>
        <w:t>Charlie Stewart</w:t>
      </w:r>
    </w:p>
    <w:p w14:paraId="12E4D11B" w14:textId="77777777" w:rsidR="00912904" w:rsidRPr="00A66326" w:rsidRDefault="00365D29" w:rsidP="00912904">
      <w:r>
        <w:t>Signed</w:t>
      </w:r>
      <w:r w:rsidR="00912904" w:rsidRPr="00A66326">
        <w:t xml:space="preserve"> by the Corporate Director</w:t>
      </w:r>
    </w:p>
    <w:p w14:paraId="21482980" w14:textId="29C8F89E" w:rsidR="00912904" w:rsidRPr="00A66326" w:rsidRDefault="00912904" w:rsidP="00912904">
      <w:pPr>
        <w:spacing w:after="480"/>
        <w:rPr>
          <w:sz w:val="28"/>
        </w:rPr>
      </w:pPr>
      <w:r w:rsidRPr="00A66326">
        <w:rPr>
          <w:b/>
          <w:sz w:val="28"/>
        </w:rPr>
        <w:t xml:space="preserve">Date:  </w:t>
      </w:r>
      <w:r w:rsidR="00910B2F">
        <w:rPr>
          <w:b/>
          <w:sz w:val="28"/>
        </w:rPr>
        <w:t>29/06/2022</w:t>
      </w:r>
    </w:p>
    <w:p w14:paraId="686CE5D8" w14:textId="77777777" w:rsidR="00912904" w:rsidRPr="00435B5D" w:rsidRDefault="00912904" w:rsidP="00912904">
      <w:pPr>
        <w:pStyle w:val="Heading2"/>
        <w:spacing w:after="240"/>
      </w:pPr>
      <w:r>
        <w:t>Mandatory Checks</w:t>
      </w:r>
    </w:p>
    <w:p w14:paraId="71FBC41D" w14:textId="0543F6AA" w:rsidR="00912904" w:rsidRPr="003313EA" w:rsidRDefault="00912904" w:rsidP="00C55540">
      <w:pPr>
        <w:pStyle w:val="Heading3"/>
        <w:ind w:left="0" w:firstLine="0"/>
        <w:rPr>
          <w:i/>
          <w:color w:val="FF0000"/>
          <w:szCs w:val="24"/>
        </w:rPr>
      </w:pPr>
      <w:r w:rsidRPr="00E90AFF">
        <w:rPr>
          <w:sz w:val="28"/>
        </w:rPr>
        <w:t>Ward Councillors notified:  NO</w:t>
      </w:r>
      <w:r w:rsidRPr="003313EA">
        <w:rPr>
          <w:i/>
          <w:color w:val="FF0000"/>
          <w:szCs w:val="24"/>
        </w:rPr>
        <w:t xml:space="preserve"> </w:t>
      </w:r>
    </w:p>
    <w:p w14:paraId="629F8205" w14:textId="77777777" w:rsidR="002A2389" w:rsidRDefault="002A2389" w:rsidP="00912904">
      <w:pPr>
        <w:pStyle w:val="Heading2"/>
        <w:keepNext/>
        <w:spacing w:after="240"/>
      </w:pPr>
      <w:r>
        <w:t>Section 4 - Contact Details and Background Papers</w:t>
      </w:r>
    </w:p>
    <w:p w14:paraId="373FA8D5" w14:textId="3D6D20A2" w:rsidR="00C55540" w:rsidRDefault="002A2389" w:rsidP="00C55540">
      <w:pPr>
        <w:pStyle w:val="Infotext"/>
        <w:rPr>
          <w:sz w:val="24"/>
          <w:szCs w:val="24"/>
        </w:rPr>
      </w:pPr>
      <w:r w:rsidRPr="00D914D2">
        <w:rPr>
          <w:b/>
        </w:rPr>
        <w:t>Contact:</w:t>
      </w:r>
      <w:r>
        <w:t xml:space="preserve">  </w:t>
      </w:r>
      <w:r w:rsidR="00C55540" w:rsidRPr="00A175BD">
        <w:rPr>
          <w:sz w:val="24"/>
          <w:szCs w:val="24"/>
        </w:rPr>
        <w:t xml:space="preserve">Jeremy Randall – Interim Pensions </w:t>
      </w:r>
      <w:r w:rsidR="00DD6270">
        <w:rPr>
          <w:sz w:val="24"/>
          <w:szCs w:val="24"/>
        </w:rPr>
        <w:t>Manager</w:t>
      </w:r>
    </w:p>
    <w:p w14:paraId="1C4BF2D4" w14:textId="6F1CF3B9" w:rsidR="002A2389" w:rsidRDefault="00C55540" w:rsidP="00C55540">
      <w:pPr>
        <w:pStyle w:val="Infotext"/>
        <w:rPr>
          <w:rStyle w:val="Hyperlink"/>
          <w:sz w:val="24"/>
          <w:szCs w:val="24"/>
        </w:rPr>
      </w:pPr>
      <w:r w:rsidRPr="00A175BD">
        <w:rPr>
          <w:sz w:val="24"/>
          <w:szCs w:val="24"/>
        </w:rPr>
        <w:t xml:space="preserve">Email: </w:t>
      </w:r>
      <w:hyperlink r:id="rId8" w:history="1">
        <w:r w:rsidRPr="00A175BD">
          <w:rPr>
            <w:rStyle w:val="Hyperlink"/>
            <w:sz w:val="24"/>
            <w:szCs w:val="24"/>
          </w:rPr>
          <w:t>Jeremy.randall@harrow.gov.uk</w:t>
        </w:r>
      </w:hyperlink>
    </w:p>
    <w:p w14:paraId="44BEEA4E" w14:textId="54691BB4" w:rsidR="00DD6270" w:rsidRPr="00DD6270" w:rsidRDefault="00DD6270" w:rsidP="00C55540">
      <w:pPr>
        <w:pStyle w:val="Infotext"/>
      </w:pPr>
      <w:r w:rsidRPr="00DD6270">
        <w:rPr>
          <w:rStyle w:val="Hyperlink"/>
          <w:color w:val="auto"/>
          <w:sz w:val="24"/>
          <w:szCs w:val="24"/>
          <w:u w:val="none"/>
        </w:rPr>
        <w:t>Telephone 020 8</w:t>
      </w:r>
      <w:r>
        <w:rPr>
          <w:rStyle w:val="Hyperlink"/>
          <w:color w:val="auto"/>
          <w:sz w:val="24"/>
          <w:szCs w:val="24"/>
          <w:u w:val="none"/>
        </w:rPr>
        <w:t>736 6552</w:t>
      </w:r>
    </w:p>
    <w:p w14:paraId="620D67F5" w14:textId="77777777" w:rsidR="0097457E" w:rsidRDefault="002A2389" w:rsidP="00C55540">
      <w:pPr>
        <w:pStyle w:val="Infotext"/>
        <w:spacing w:before="360"/>
      </w:pPr>
      <w:r w:rsidRPr="00D914D2">
        <w:rPr>
          <w:b/>
        </w:rPr>
        <w:t>Background Papers</w:t>
      </w:r>
      <w:r>
        <w:t xml:space="preserve">:  </w:t>
      </w:r>
    </w:p>
    <w:p w14:paraId="6782E9DE" w14:textId="2CEDCF5C" w:rsidR="0097457E" w:rsidRDefault="0097457E" w:rsidP="00C55540">
      <w:pPr>
        <w:pStyle w:val="Infotext"/>
        <w:spacing w:before="360"/>
      </w:pPr>
      <w:r>
        <w:t xml:space="preserve">LGPS Good Governance Review Phase 3 Report </w:t>
      </w:r>
      <w:hyperlink r:id="rId9" w:history="1">
        <w:r w:rsidRPr="00521902">
          <w:rPr>
            <w:rStyle w:val="Hyperlink"/>
          </w:rPr>
          <w:t>https://www.lgpsboard.org/images/Other/Good_Governance_Final_Report_February_2021.pdf</w:t>
        </w:r>
      </w:hyperlink>
    </w:p>
    <w:sectPr w:rsidR="0097457E" w:rsidSect="00FF71E5">
      <w:type w:val="continuous"/>
      <w:pgSz w:w="11909" w:h="16834" w:code="9"/>
      <w:pgMar w:top="1008" w:right="1800" w:bottom="1152" w:left="1800" w:header="1008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4255B" w14:textId="77777777" w:rsidR="00E609EF" w:rsidRDefault="00E609EF">
      <w:r>
        <w:separator/>
      </w:r>
    </w:p>
  </w:endnote>
  <w:endnote w:type="continuationSeparator" w:id="0">
    <w:p w14:paraId="252691D2" w14:textId="77777777" w:rsidR="00E609EF" w:rsidRDefault="00E60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E0CFA" w14:textId="77777777" w:rsidR="00E609EF" w:rsidRDefault="00E609EF">
      <w:r>
        <w:separator/>
      </w:r>
    </w:p>
  </w:footnote>
  <w:footnote w:type="continuationSeparator" w:id="0">
    <w:p w14:paraId="68D6354C" w14:textId="77777777" w:rsidR="00E609EF" w:rsidRDefault="00E609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77F52"/>
    <w:multiLevelType w:val="hybridMultilevel"/>
    <w:tmpl w:val="7F72C69C"/>
    <w:lvl w:ilvl="0" w:tplc="D73C90C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42281C"/>
    <w:multiLevelType w:val="hybridMultilevel"/>
    <w:tmpl w:val="E594004A"/>
    <w:lvl w:ilvl="0" w:tplc="75F6ED5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01BFE"/>
    <w:multiLevelType w:val="hybridMultilevel"/>
    <w:tmpl w:val="43A8E004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E22DA"/>
    <w:multiLevelType w:val="hybridMultilevel"/>
    <w:tmpl w:val="8B781CD8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2E45D48"/>
    <w:multiLevelType w:val="hybridMultilevel"/>
    <w:tmpl w:val="B2CA8E74"/>
    <w:lvl w:ilvl="0" w:tplc="365A6E9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C6ABC"/>
    <w:multiLevelType w:val="hybridMultilevel"/>
    <w:tmpl w:val="78F486F6"/>
    <w:lvl w:ilvl="0" w:tplc="049298E8">
      <w:start w:val="1"/>
      <w:numFmt w:val="decimal"/>
      <w:lvlText w:val="%1."/>
      <w:lvlJc w:val="left"/>
      <w:pPr>
        <w:tabs>
          <w:tab w:val="num" w:pos="584"/>
        </w:tabs>
        <w:ind w:left="584" w:hanging="397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CE0B17"/>
    <w:multiLevelType w:val="hybridMultilevel"/>
    <w:tmpl w:val="9A0C48C8"/>
    <w:lvl w:ilvl="0" w:tplc="2514E298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9B5A02"/>
    <w:multiLevelType w:val="hybridMultilevel"/>
    <w:tmpl w:val="8B526854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512B03"/>
    <w:multiLevelType w:val="hybridMultilevel"/>
    <w:tmpl w:val="ADA8741A"/>
    <w:lvl w:ilvl="0" w:tplc="404643F6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3DC3909"/>
    <w:multiLevelType w:val="hybridMultilevel"/>
    <w:tmpl w:val="A9162E52"/>
    <w:lvl w:ilvl="0" w:tplc="113ECF8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A36370"/>
    <w:multiLevelType w:val="hybridMultilevel"/>
    <w:tmpl w:val="1D5EF0A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C34617A"/>
    <w:multiLevelType w:val="hybridMultilevel"/>
    <w:tmpl w:val="9B64EFA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ED0745B"/>
    <w:multiLevelType w:val="hybridMultilevel"/>
    <w:tmpl w:val="551442B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 w15:restartNumberingAfterBreak="0">
    <w:nsid w:val="3FE2074E"/>
    <w:multiLevelType w:val="hybridMultilevel"/>
    <w:tmpl w:val="B4526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F43A2F"/>
    <w:multiLevelType w:val="hybridMultilevel"/>
    <w:tmpl w:val="501836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D735CE"/>
    <w:multiLevelType w:val="hybridMultilevel"/>
    <w:tmpl w:val="BF70AEA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5109BF"/>
    <w:multiLevelType w:val="multilevel"/>
    <w:tmpl w:val="08CE2DAE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4ACE77B3"/>
    <w:multiLevelType w:val="hybridMultilevel"/>
    <w:tmpl w:val="B92ED2E2"/>
    <w:lvl w:ilvl="0" w:tplc="E4E49048">
      <w:start w:val="1"/>
      <w:numFmt w:val="bullet"/>
      <w:lvlText w:val=""/>
      <w:lvlJc w:val="left"/>
      <w:pPr>
        <w:tabs>
          <w:tab w:val="num" w:pos="-3168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25636A"/>
    <w:multiLevelType w:val="hybridMultilevel"/>
    <w:tmpl w:val="5074CC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53170DE"/>
    <w:multiLevelType w:val="hybridMultilevel"/>
    <w:tmpl w:val="A800A568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B753AE"/>
    <w:multiLevelType w:val="hybridMultilevel"/>
    <w:tmpl w:val="DCECE25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0A5676D"/>
    <w:multiLevelType w:val="hybridMultilevel"/>
    <w:tmpl w:val="0F7EA04C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0E5D1B"/>
    <w:multiLevelType w:val="multilevel"/>
    <w:tmpl w:val="C46E37BC"/>
    <w:name w:val="seq1"/>
    <w:lvl w:ilvl="0">
      <w:start w:val="1"/>
      <w:numFmt w:val="decimal"/>
      <w:pStyle w:val="N1"/>
      <w:suff w:val="nothing"/>
      <w:lvlText w:val="%1."/>
      <w:lvlJc w:val="left"/>
      <w:pPr>
        <w:ind w:left="0" w:firstLine="170"/>
      </w:pPr>
      <w:rPr>
        <w:rFonts w:hint="default"/>
        <w:b/>
        <w:i w:val="0"/>
      </w:rPr>
    </w:lvl>
    <w:lvl w:ilvl="1">
      <w:start w:val="1"/>
      <w:numFmt w:val="decimal"/>
      <w:pStyle w:val="N2"/>
      <w:suff w:val="space"/>
      <w:lvlText w:val="(%2)"/>
      <w:lvlJc w:val="left"/>
      <w:pPr>
        <w:ind w:left="0" w:firstLine="170"/>
      </w:pPr>
      <w:rPr>
        <w:rFonts w:hint="default"/>
        <w:b w:val="0"/>
        <w:i w:val="0"/>
      </w:rPr>
    </w:lvl>
    <w:lvl w:ilvl="2">
      <w:start w:val="2"/>
      <w:numFmt w:val="lowerLetter"/>
      <w:pStyle w:val="N3"/>
      <w:lvlText w:val="(%3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3">
      <w:start w:val="1"/>
      <w:numFmt w:val="lowerRoman"/>
      <w:pStyle w:val="N4"/>
      <w:lvlText w:val="(%4)"/>
      <w:lvlJc w:val="right"/>
      <w:pPr>
        <w:tabs>
          <w:tab w:val="num" w:pos="1134"/>
        </w:tabs>
        <w:ind w:left="1134" w:hanging="113"/>
      </w:pPr>
      <w:rPr>
        <w:rFonts w:hint="default"/>
      </w:rPr>
    </w:lvl>
    <w:lvl w:ilvl="4">
      <w:start w:val="27"/>
      <w:numFmt w:val="lowerLetter"/>
      <w:pStyle w:val="N5"/>
      <w:lvlText w:val="(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23" w15:restartNumberingAfterBreak="0">
    <w:nsid w:val="653028D4"/>
    <w:multiLevelType w:val="multilevel"/>
    <w:tmpl w:val="963C2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ED68B9"/>
    <w:multiLevelType w:val="hybridMultilevel"/>
    <w:tmpl w:val="963C23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B703DD"/>
    <w:multiLevelType w:val="hybridMultilevel"/>
    <w:tmpl w:val="204C478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1EB079B"/>
    <w:multiLevelType w:val="hybridMultilevel"/>
    <w:tmpl w:val="F552FCD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ECF2AEE"/>
    <w:multiLevelType w:val="hybridMultilevel"/>
    <w:tmpl w:val="46906B5C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7"/>
  </w:num>
  <w:num w:numId="3">
    <w:abstractNumId w:val="23"/>
  </w:num>
  <w:num w:numId="4">
    <w:abstractNumId w:val="1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2"/>
  </w:num>
  <w:num w:numId="8">
    <w:abstractNumId w:val="6"/>
  </w:num>
  <w:num w:numId="9">
    <w:abstractNumId w:val="4"/>
  </w:num>
  <w:num w:numId="10">
    <w:abstractNumId w:val="21"/>
  </w:num>
  <w:num w:numId="11">
    <w:abstractNumId w:val="27"/>
  </w:num>
  <w:num w:numId="12">
    <w:abstractNumId w:val="19"/>
  </w:num>
  <w:num w:numId="13">
    <w:abstractNumId w:val="2"/>
  </w:num>
  <w:num w:numId="14">
    <w:abstractNumId w:val="7"/>
  </w:num>
  <w:num w:numId="15">
    <w:abstractNumId w:val="16"/>
  </w:num>
  <w:num w:numId="16">
    <w:abstractNumId w:val="14"/>
  </w:num>
  <w:num w:numId="17">
    <w:abstractNumId w:val="0"/>
  </w:num>
  <w:num w:numId="18">
    <w:abstractNumId w:val="10"/>
  </w:num>
  <w:num w:numId="19">
    <w:abstractNumId w:val="13"/>
  </w:num>
  <w:num w:numId="20">
    <w:abstractNumId w:val="26"/>
  </w:num>
  <w:num w:numId="21">
    <w:abstractNumId w:val="5"/>
  </w:num>
  <w:num w:numId="22">
    <w:abstractNumId w:val="22"/>
  </w:num>
  <w:num w:numId="23">
    <w:abstractNumId w:val="20"/>
  </w:num>
  <w:num w:numId="24">
    <w:abstractNumId w:val="25"/>
  </w:num>
  <w:num w:numId="25">
    <w:abstractNumId w:val="11"/>
  </w:num>
  <w:num w:numId="26">
    <w:abstractNumId w:val="18"/>
  </w:num>
  <w:num w:numId="27">
    <w:abstractNumId w:val="8"/>
  </w:num>
  <w:num w:numId="28">
    <w:abstractNumId w:val="3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303"/>
    <w:rsid w:val="00023F4C"/>
    <w:rsid w:val="00057F10"/>
    <w:rsid w:val="00063313"/>
    <w:rsid w:val="000633A2"/>
    <w:rsid w:val="00071EB4"/>
    <w:rsid w:val="00077298"/>
    <w:rsid w:val="00085E3D"/>
    <w:rsid w:val="000A58A1"/>
    <w:rsid w:val="000A6659"/>
    <w:rsid w:val="000B0E6F"/>
    <w:rsid w:val="000B6DBB"/>
    <w:rsid w:val="000D2BF2"/>
    <w:rsid w:val="000D5870"/>
    <w:rsid w:val="000F65C0"/>
    <w:rsid w:val="001939BA"/>
    <w:rsid w:val="001A6EB0"/>
    <w:rsid w:val="001B441D"/>
    <w:rsid w:val="001C5225"/>
    <w:rsid w:val="001C6F48"/>
    <w:rsid w:val="001E0219"/>
    <w:rsid w:val="00213BE7"/>
    <w:rsid w:val="00231A1D"/>
    <w:rsid w:val="0024178C"/>
    <w:rsid w:val="00244120"/>
    <w:rsid w:val="00293F9F"/>
    <w:rsid w:val="002A2389"/>
    <w:rsid w:val="002A2C3A"/>
    <w:rsid w:val="002C08E2"/>
    <w:rsid w:val="002C1794"/>
    <w:rsid w:val="002D2FC5"/>
    <w:rsid w:val="002E6637"/>
    <w:rsid w:val="002E77E3"/>
    <w:rsid w:val="002F5FFD"/>
    <w:rsid w:val="00313B46"/>
    <w:rsid w:val="00332947"/>
    <w:rsid w:val="00333EB4"/>
    <w:rsid w:val="00343E59"/>
    <w:rsid w:val="00345915"/>
    <w:rsid w:val="00363F5F"/>
    <w:rsid w:val="00365D29"/>
    <w:rsid w:val="00374F22"/>
    <w:rsid w:val="003D2FFE"/>
    <w:rsid w:val="00400032"/>
    <w:rsid w:val="0042394B"/>
    <w:rsid w:val="00435F0D"/>
    <w:rsid w:val="00473B08"/>
    <w:rsid w:val="00474B5F"/>
    <w:rsid w:val="004A3CE6"/>
    <w:rsid w:val="004A4A1D"/>
    <w:rsid w:val="004B2C9D"/>
    <w:rsid w:val="004B4A47"/>
    <w:rsid w:val="004E667D"/>
    <w:rsid w:val="004E6AF9"/>
    <w:rsid w:val="005031DF"/>
    <w:rsid w:val="00567D42"/>
    <w:rsid w:val="00597314"/>
    <w:rsid w:val="005A61AF"/>
    <w:rsid w:val="005D0886"/>
    <w:rsid w:val="005E384D"/>
    <w:rsid w:val="005F2181"/>
    <w:rsid w:val="005F724B"/>
    <w:rsid w:val="00625DFF"/>
    <w:rsid w:val="0063072B"/>
    <w:rsid w:val="00661CE1"/>
    <w:rsid w:val="00662891"/>
    <w:rsid w:val="006628B7"/>
    <w:rsid w:val="00675FCB"/>
    <w:rsid w:val="006B3942"/>
    <w:rsid w:val="006B5B52"/>
    <w:rsid w:val="006C3914"/>
    <w:rsid w:val="006D3648"/>
    <w:rsid w:val="0074184E"/>
    <w:rsid w:val="00743829"/>
    <w:rsid w:val="00755F8D"/>
    <w:rsid w:val="0075614B"/>
    <w:rsid w:val="0078744D"/>
    <w:rsid w:val="00796503"/>
    <w:rsid w:val="007A5C98"/>
    <w:rsid w:val="007D2BDA"/>
    <w:rsid w:val="007D56C8"/>
    <w:rsid w:val="007E3934"/>
    <w:rsid w:val="007E7303"/>
    <w:rsid w:val="008212A0"/>
    <w:rsid w:val="00837F53"/>
    <w:rsid w:val="008A2DC0"/>
    <w:rsid w:val="008B4F38"/>
    <w:rsid w:val="008D1750"/>
    <w:rsid w:val="008D7800"/>
    <w:rsid w:val="008E2910"/>
    <w:rsid w:val="008E4913"/>
    <w:rsid w:val="008E6C0C"/>
    <w:rsid w:val="008F2930"/>
    <w:rsid w:val="00900464"/>
    <w:rsid w:val="0090100E"/>
    <w:rsid w:val="00910B2F"/>
    <w:rsid w:val="00912904"/>
    <w:rsid w:val="0093767E"/>
    <w:rsid w:val="00972A02"/>
    <w:rsid w:val="0097457E"/>
    <w:rsid w:val="0098508A"/>
    <w:rsid w:val="009870BC"/>
    <w:rsid w:val="0099517C"/>
    <w:rsid w:val="009A0937"/>
    <w:rsid w:val="009B2ECD"/>
    <w:rsid w:val="009B7914"/>
    <w:rsid w:val="009C12BA"/>
    <w:rsid w:val="009E4AC6"/>
    <w:rsid w:val="009F430B"/>
    <w:rsid w:val="00A160B2"/>
    <w:rsid w:val="00A360D6"/>
    <w:rsid w:val="00A40F28"/>
    <w:rsid w:val="00A562AB"/>
    <w:rsid w:val="00A566E7"/>
    <w:rsid w:val="00A940D3"/>
    <w:rsid w:val="00A96FCA"/>
    <w:rsid w:val="00AA4BE8"/>
    <w:rsid w:val="00AB051A"/>
    <w:rsid w:val="00AC0AAB"/>
    <w:rsid w:val="00AC7BA9"/>
    <w:rsid w:val="00B0425E"/>
    <w:rsid w:val="00B431BC"/>
    <w:rsid w:val="00B471B0"/>
    <w:rsid w:val="00B900E2"/>
    <w:rsid w:val="00B9118E"/>
    <w:rsid w:val="00BD6115"/>
    <w:rsid w:val="00BD684A"/>
    <w:rsid w:val="00BE75CB"/>
    <w:rsid w:val="00C32DAE"/>
    <w:rsid w:val="00C40E24"/>
    <w:rsid w:val="00C43C57"/>
    <w:rsid w:val="00C55540"/>
    <w:rsid w:val="00C61B80"/>
    <w:rsid w:val="00C92D9A"/>
    <w:rsid w:val="00C96EF5"/>
    <w:rsid w:val="00CE4DD2"/>
    <w:rsid w:val="00D143E7"/>
    <w:rsid w:val="00D25064"/>
    <w:rsid w:val="00D32B51"/>
    <w:rsid w:val="00D34668"/>
    <w:rsid w:val="00D3740E"/>
    <w:rsid w:val="00D40335"/>
    <w:rsid w:val="00D82F57"/>
    <w:rsid w:val="00D841A5"/>
    <w:rsid w:val="00D914D2"/>
    <w:rsid w:val="00DA25DB"/>
    <w:rsid w:val="00DB0791"/>
    <w:rsid w:val="00DD4251"/>
    <w:rsid w:val="00DD6270"/>
    <w:rsid w:val="00DE2E56"/>
    <w:rsid w:val="00E02B50"/>
    <w:rsid w:val="00E03F11"/>
    <w:rsid w:val="00E06DC8"/>
    <w:rsid w:val="00E220B5"/>
    <w:rsid w:val="00E33D93"/>
    <w:rsid w:val="00E609EF"/>
    <w:rsid w:val="00E8515B"/>
    <w:rsid w:val="00E90AFF"/>
    <w:rsid w:val="00EF2F91"/>
    <w:rsid w:val="00F27522"/>
    <w:rsid w:val="00F33EE3"/>
    <w:rsid w:val="00F4213B"/>
    <w:rsid w:val="00F849ED"/>
    <w:rsid w:val="00F92398"/>
    <w:rsid w:val="00FB29DC"/>
    <w:rsid w:val="00FD31A0"/>
    <w:rsid w:val="00FF6AAD"/>
    <w:rsid w:val="00FF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/>
    <o:shapelayout v:ext="edit">
      <o:idmap v:ext="edit" data="1"/>
    </o:shapelayout>
  </w:shapeDefaults>
  <w:decimalSymbol w:val="."/>
  <w:listSeparator w:val=","/>
  <w14:docId w14:val="08E5ED5E"/>
  <w15:docId w15:val="{97EBD9F3-8B6F-4FFD-9A97-9F7A61F9E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Heading2"/>
    <w:next w:val="Normal"/>
    <w:qFormat/>
    <w:rsid w:val="00912904"/>
    <w:pPr>
      <w:spacing w:before="0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rsid w:val="003D2FFE"/>
    <w:pPr>
      <w:spacing w:before="480"/>
      <w:outlineLvl w:val="1"/>
    </w:pPr>
    <w:rPr>
      <w:rFonts w:ascii="Arial Black" w:hAnsi="Arial Black" w:cs="Arial"/>
      <w:bCs/>
      <w:sz w:val="32"/>
      <w:szCs w:val="32"/>
    </w:rPr>
  </w:style>
  <w:style w:type="paragraph" w:styleId="Heading3">
    <w:name w:val="heading 3"/>
    <w:basedOn w:val="Normal"/>
    <w:next w:val="Normal"/>
    <w:qFormat/>
    <w:rsid w:val="00C61B80"/>
    <w:pPr>
      <w:ind w:left="720" w:hanging="720"/>
      <w:jc w:val="both"/>
      <w:outlineLvl w:val="2"/>
    </w:pPr>
    <w:rPr>
      <w:rFonts w:cs="Arial"/>
      <w:b/>
      <w:bCs/>
      <w:szCs w:val="28"/>
    </w:rPr>
  </w:style>
  <w:style w:type="paragraph" w:styleId="Heading4">
    <w:name w:val="heading 4"/>
    <w:basedOn w:val="Normal"/>
    <w:next w:val="Normal"/>
    <w:qFormat/>
    <w:rsid w:val="00C61B80"/>
    <w:pPr>
      <w:keepNext/>
      <w:spacing w:after="240"/>
      <w:outlineLvl w:val="3"/>
    </w:pPr>
    <w:rPr>
      <w:rFonts w:cs="Arial"/>
      <w:b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Arial"/>
      <w:sz w:val="28"/>
    </w:rPr>
  </w:style>
  <w:style w:type="paragraph" w:styleId="Heading6">
    <w:name w:val="heading 6"/>
    <w:basedOn w:val="Normal"/>
    <w:next w:val="Normal"/>
    <w:qFormat/>
    <w:pPr>
      <w:keepNext/>
      <w:ind w:left="720" w:hanging="720"/>
      <w:outlineLvl w:val="5"/>
    </w:pPr>
    <w:rPr>
      <w:rFonts w:cs="Arial"/>
      <w:b/>
      <w:bCs/>
      <w:sz w:val="28"/>
      <w:szCs w:val="24"/>
    </w:rPr>
  </w:style>
  <w:style w:type="paragraph" w:styleId="Heading7">
    <w:name w:val="heading 7"/>
    <w:basedOn w:val="Normal"/>
    <w:next w:val="Normal"/>
    <w:qFormat/>
    <w:pPr>
      <w:keepNext/>
      <w:ind w:left="720" w:hanging="720"/>
      <w:jc w:val="both"/>
      <w:outlineLvl w:val="6"/>
    </w:pPr>
    <w:rPr>
      <w:rFonts w:cs="Arial"/>
      <w:i/>
      <w:iCs/>
    </w:rPr>
  </w:style>
  <w:style w:type="paragraph" w:styleId="Heading8">
    <w:name w:val="heading 8"/>
    <w:basedOn w:val="Normal"/>
    <w:next w:val="Normal"/>
    <w:qFormat/>
    <w:pPr>
      <w:keepNext/>
      <w:ind w:left="720" w:hanging="720"/>
      <w:outlineLvl w:val="7"/>
    </w:pPr>
    <w:rPr>
      <w:rFonts w:cs="Arial"/>
      <w:i/>
      <w:iCs/>
    </w:rPr>
  </w:style>
  <w:style w:type="paragraph" w:styleId="Heading9">
    <w:name w:val="heading 9"/>
    <w:basedOn w:val="Normal"/>
    <w:next w:val="Normal"/>
    <w:qFormat/>
    <w:pPr>
      <w:keepNext/>
      <w:ind w:left="720" w:hanging="72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Cs w:val="24"/>
      <w:lang w:val="en-US"/>
    </w:rPr>
  </w:style>
  <w:style w:type="paragraph" w:styleId="BodyText">
    <w:name w:val="Body Text"/>
    <w:basedOn w:val="Normal"/>
    <w:rPr>
      <w:rFonts w:cs="Arial"/>
      <w:i/>
      <w:i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Heading3Char">
    <w:name w:val="Heading 3 Char"/>
    <w:rPr>
      <w:rFonts w:ascii="Arial" w:hAnsi="Arial" w:cs="Arial"/>
      <w:b/>
      <w:bCs/>
      <w:i/>
      <w:sz w:val="24"/>
      <w:szCs w:val="28"/>
      <w:lang w:val="en-GB" w:eastAsia="en-US" w:bidi="ar-SA"/>
    </w:rPr>
  </w:style>
  <w:style w:type="paragraph" w:customStyle="1" w:styleId="Style12ptJustified">
    <w:name w:val="Style 12 pt Justified"/>
    <w:basedOn w:val="Normal"/>
  </w:style>
  <w:style w:type="paragraph" w:customStyle="1" w:styleId="Style12ptLinespacing15lines">
    <w:name w:val="Style 12 pt Line spacing:  1.5 lines"/>
    <w:basedOn w:val="Normal"/>
  </w:style>
  <w:style w:type="paragraph" w:customStyle="1" w:styleId="Infotext">
    <w:name w:val="Info text"/>
    <w:basedOn w:val="Normal"/>
    <w:rPr>
      <w:sz w:val="28"/>
    </w:rPr>
  </w:style>
  <w:style w:type="paragraph" w:customStyle="1" w:styleId="Style12ptJustified1">
    <w:name w:val="Style 12 pt Justified1"/>
    <w:basedOn w:val="Normal"/>
  </w:style>
  <w:style w:type="paragraph" w:customStyle="1" w:styleId="Style12ptJustified2">
    <w:name w:val="Style 12 pt Justified2"/>
    <w:basedOn w:val="Normal"/>
  </w:style>
  <w:style w:type="paragraph" w:customStyle="1" w:styleId="Style12ptJustified3">
    <w:name w:val="Style 12 pt Justified3"/>
    <w:basedOn w:val="Normal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tyleJustified">
    <w:name w:val="Style Justified"/>
    <w:basedOn w:val="Normal"/>
    <w:next w:val="Normal"/>
    <w:rPr>
      <w:szCs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infotext0">
    <w:name w:val="infotext"/>
    <w:basedOn w:val="Normal"/>
    <w:rsid w:val="00C32DAE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paragraph" w:customStyle="1" w:styleId="CharCharCharCharCharCharCharChar">
    <w:name w:val="Char Char Char Char Char Char Char Char"/>
    <w:basedOn w:val="Normal"/>
    <w:rsid w:val="001E0219"/>
    <w:pPr>
      <w:spacing w:after="160" w:line="240" w:lineRule="exact"/>
    </w:pPr>
    <w:rPr>
      <w:rFonts w:ascii="Tahoma" w:hAnsi="Tahoma"/>
      <w:sz w:val="20"/>
      <w:lang w:eastAsia="en-GB"/>
    </w:rPr>
  </w:style>
  <w:style w:type="paragraph" w:customStyle="1" w:styleId="CharCharCharChar2">
    <w:name w:val="Char Char Char Char2"/>
    <w:basedOn w:val="Normal"/>
    <w:locked/>
    <w:rsid w:val="00332947"/>
    <w:pPr>
      <w:spacing w:after="160" w:line="240" w:lineRule="exact"/>
    </w:pPr>
    <w:rPr>
      <w:rFonts w:ascii="Verdana" w:eastAsia="MS ??" w:hAnsi="Verdana" w:cs="Verdana"/>
      <w:sz w:val="20"/>
      <w:lang w:val="en-US"/>
    </w:rPr>
  </w:style>
  <w:style w:type="character" w:styleId="PageNumber">
    <w:name w:val="page number"/>
    <w:rsid w:val="00213BE7"/>
  </w:style>
  <w:style w:type="paragraph" w:customStyle="1" w:styleId="CharCharCharChar">
    <w:name w:val="Char Char Char Char"/>
    <w:basedOn w:val="Normal"/>
    <w:locked/>
    <w:rsid w:val="00213BE7"/>
    <w:pPr>
      <w:spacing w:after="160" w:line="240" w:lineRule="exact"/>
    </w:pPr>
    <w:rPr>
      <w:rFonts w:ascii="Verdana" w:hAnsi="Verdana"/>
      <w:sz w:val="20"/>
      <w:lang w:val="en-US"/>
    </w:rPr>
  </w:style>
  <w:style w:type="character" w:styleId="Hyperlink">
    <w:name w:val="Hyperlink"/>
    <w:rsid w:val="00213BE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13BE7"/>
    <w:pPr>
      <w:ind w:left="720"/>
    </w:pPr>
    <w:rPr>
      <w:rFonts w:eastAsia="Calibri" w:cs="Arial"/>
      <w:color w:val="000000"/>
      <w:sz w:val="22"/>
      <w:szCs w:val="22"/>
      <w:lang w:eastAsia="en-GB"/>
    </w:rPr>
  </w:style>
  <w:style w:type="table" w:customStyle="1" w:styleId="Style1">
    <w:name w:val="Style1"/>
    <w:basedOn w:val="TableNormal"/>
    <w:uiPriority w:val="99"/>
    <w:rsid w:val="00A160B2"/>
    <w:rPr>
      <w:rFonts w:ascii="Arial" w:hAnsi="Arial"/>
      <w:sz w:val="24"/>
    </w:rPr>
    <w:tblPr/>
    <w:tcPr>
      <w:shd w:val="clear" w:color="auto" w:fill="FFFFFF" w:themeFill="background1"/>
    </w:tcPr>
  </w:style>
  <w:style w:type="character" w:styleId="FollowedHyperlink">
    <w:name w:val="FollowedHyperlink"/>
    <w:basedOn w:val="DefaultParagraphFont"/>
    <w:rsid w:val="0091290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3942"/>
    <w:rPr>
      <w:color w:val="605E5C"/>
      <w:shd w:val="clear" w:color="auto" w:fill="E1DFDD"/>
    </w:rPr>
  </w:style>
  <w:style w:type="paragraph" w:customStyle="1" w:styleId="N1">
    <w:name w:val="N1"/>
    <w:basedOn w:val="Normal"/>
    <w:next w:val="N2"/>
    <w:rsid w:val="00435F0D"/>
    <w:pPr>
      <w:numPr>
        <w:numId w:val="22"/>
      </w:numPr>
      <w:spacing w:before="160" w:line="220" w:lineRule="atLeast"/>
      <w:jc w:val="both"/>
    </w:pPr>
    <w:rPr>
      <w:rFonts w:ascii="Times New Roman" w:hAnsi="Times New Roman"/>
      <w:sz w:val="21"/>
    </w:rPr>
  </w:style>
  <w:style w:type="paragraph" w:customStyle="1" w:styleId="N2">
    <w:name w:val="N2"/>
    <w:basedOn w:val="N1"/>
    <w:rsid w:val="00435F0D"/>
    <w:pPr>
      <w:numPr>
        <w:ilvl w:val="1"/>
      </w:numPr>
      <w:spacing w:before="80"/>
    </w:pPr>
  </w:style>
  <w:style w:type="paragraph" w:customStyle="1" w:styleId="N3">
    <w:name w:val="N3"/>
    <w:basedOn w:val="N2"/>
    <w:rsid w:val="00435F0D"/>
    <w:pPr>
      <w:numPr>
        <w:ilvl w:val="2"/>
      </w:numPr>
    </w:pPr>
  </w:style>
  <w:style w:type="paragraph" w:customStyle="1" w:styleId="N4">
    <w:name w:val="N4"/>
    <w:basedOn w:val="N3"/>
    <w:rsid w:val="00435F0D"/>
    <w:pPr>
      <w:numPr>
        <w:ilvl w:val="3"/>
      </w:numPr>
    </w:pPr>
  </w:style>
  <w:style w:type="paragraph" w:customStyle="1" w:styleId="N5">
    <w:name w:val="N5"/>
    <w:basedOn w:val="N4"/>
    <w:rsid w:val="00435F0D"/>
    <w:pPr>
      <w:numPr>
        <w:ilvl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5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remy.randall@harrow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lgpsboard.org/images/Other/Good_Governance_Final_Report_February_202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596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Meeting:</vt:lpstr>
    </vt:vector>
  </TitlesOfParts>
  <Company>Harrow Council</Company>
  <LinksUpToDate>false</LinksUpToDate>
  <CharactersWithSpaces>4241</CharactersWithSpaces>
  <SharedDoc>false</SharedDoc>
  <HLinks>
    <vt:vector size="12" baseType="variant">
      <vt:variant>
        <vt:i4>3211339</vt:i4>
      </vt:variant>
      <vt:variant>
        <vt:i4>3</vt:i4>
      </vt:variant>
      <vt:variant>
        <vt:i4>0</vt:i4>
      </vt:variant>
      <vt:variant>
        <vt:i4>5</vt:i4>
      </vt:variant>
      <vt:variant>
        <vt:lpwstr>https://harrowhub.harrow.gov.uk/downloads/file/9714/committee_report_templates_-_implications_guidance</vt:lpwstr>
      </vt:variant>
      <vt:variant>
        <vt:lpwstr/>
      </vt:variant>
      <vt:variant>
        <vt:i4>3211339</vt:i4>
      </vt:variant>
      <vt:variant>
        <vt:i4>0</vt:i4>
      </vt:variant>
      <vt:variant>
        <vt:i4>0</vt:i4>
      </vt:variant>
      <vt:variant>
        <vt:i4>5</vt:i4>
      </vt:variant>
      <vt:variant>
        <vt:lpwstr>https://harrowhub.harrow.gov.uk/downloads/file/9714/committee_report_templates_-_implications_guidance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Meeting:</dc:title>
  <dc:creator>Harrow IT Services</dc:creator>
  <cp:lastModifiedBy>Nikoleta Kemp</cp:lastModifiedBy>
  <cp:revision>9</cp:revision>
  <cp:lastPrinted>2007-07-12T09:53:00Z</cp:lastPrinted>
  <dcterms:created xsi:type="dcterms:W3CDTF">2022-06-29T09:01:00Z</dcterms:created>
  <dcterms:modified xsi:type="dcterms:W3CDTF">2022-07-20T11:58:00Z</dcterms:modified>
</cp:coreProperties>
</file>